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E9" w:rsidRDefault="00180C73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2D39E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D39E9" w:rsidRDefault="002D39E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561"/>
        <w:gridCol w:w="180"/>
        <w:gridCol w:w="821"/>
        <w:gridCol w:w="180"/>
        <w:gridCol w:w="4234"/>
      </w:tblGrid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01/2612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2D39E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Гаряжа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2D39E9" w:rsidRDefault="002D39E9">
      <w:pPr>
        <w:rPr>
          <w:rFonts w:eastAsia="Times New Roman"/>
          <w:color w:val="000000"/>
        </w:rPr>
      </w:pPr>
    </w:p>
    <w:p w:rsidR="002D39E9" w:rsidRDefault="00180C73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2D39E9" w:rsidRDefault="00180C7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"КОНДИТЕРСЬКА ФАБРИКА "АВК" М. ДНIПРО"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49051, </w:t>
            </w:r>
            <w:proofErr w:type="spellStart"/>
            <w:r>
              <w:rPr>
                <w:rFonts w:eastAsia="Times New Roman"/>
                <w:color w:val="000000"/>
              </w:rPr>
              <w:t>Дніпропетровська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Днiпро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Журналiстiв</w:t>
            </w:r>
            <w:proofErr w:type="spellEnd"/>
            <w:r>
              <w:rPr>
                <w:rFonts w:eastAsia="Times New Roman"/>
                <w:color w:val="000000"/>
              </w:rPr>
              <w:t>, 11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00373882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056 790-22-28 056 790-11-34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alexandr.volchenko@avk.ua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2D39E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D39E9" w:rsidRDefault="002D39E9">
      <w:pPr>
        <w:rPr>
          <w:rFonts w:eastAsia="Times New Roman"/>
          <w:color w:val="000000"/>
        </w:rPr>
      </w:pPr>
    </w:p>
    <w:p w:rsidR="002D39E9" w:rsidRDefault="00180C7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3466"/>
        <w:gridCol w:w="180"/>
        <w:gridCol w:w="1200"/>
      </w:tblGrid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http://dnkf.avk.ua/ua/shareholders/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26.12.2019</w:t>
            </w:r>
          </w:p>
        </w:tc>
      </w:tr>
      <w:tr w:rsidR="002D39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D39E9" w:rsidRDefault="002D39E9">
      <w:pPr>
        <w:rPr>
          <w:rFonts w:eastAsia="Times New Roman"/>
          <w:color w:val="000000"/>
        </w:rPr>
        <w:sectPr w:rsidR="002D39E9" w:rsidSect="00180C73">
          <w:pgSz w:w="11907" w:h="16840"/>
          <w:pgMar w:top="426" w:right="851" w:bottom="567" w:left="851" w:header="0" w:footer="0" w:gutter="0"/>
          <w:cols w:space="708"/>
          <w:docGrid w:linePitch="360"/>
        </w:sectPr>
      </w:pPr>
    </w:p>
    <w:p w:rsidR="002D39E9" w:rsidRDefault="00180C73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осіб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42"/>
        <w:gridCol w:w="2870"/>
        <w:gridCol w:w="5900"/>
        <w:gridCol w:w="1408"/>
      </w:tblGrid>
      <w:tr w:rsidR="002D39E9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2D39E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D3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звільнено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Гаряжа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D39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2D39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</w:t>
            </w:r>
            <w:proofErr w:type="spellStart"/>
            <w:r>
              <w:rPr>
                <w:rFonts w:eastAsia="Times New Roman"/>
                <w:color w:val="000000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</w:rPr>
              <w:t xml:space="preserve"> заяви </w:t>
            </w:r>
            <w:proofErr w:type="spellStart"/>
            <w:r>
              <w:rPr>
                <w:rFonts w:eastAsia="Times New Roman"/>
                <w:color w:val="000000"/>
              </w:rPr>
              <w:t>Гаряжа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Олега </w:t>
            </w:r>
            <w:proofErr w:type="spellStart"/>
            <w:r>
              <w:rPr>
                <w:rFonts w:eastAsia="Times New Roman"/>
                <w:color w:val="000000"/>
              </w:rPr>
              <w:t>Iвановича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23.12.2019р.,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ПРАТ «КОНДИТЕРСЬКА ФАБРИКА «АВК» М. ДНIПРО»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(протокол № 128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26.12.2019р.) про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Гаряжа</w:t>
            </w:r>
            <w:proofErr w:type="spellEnd"/>
            <w:r>
              <w:rPr>
                <w:rFonts w:eastAsia="Times New Roman"/>
                <w:color w:val="000000"/>
              </w:rPr>
              <w:t xml:space="preserve"> Олега </w:t>
            </w:r>
            <w:proofErr w:type="spellStart"/>
            <w:r>
              <w:rPr>
                <w:rFonts w:eastAsia="Times New Roman"/>
                <w:color w:val="000000"/>
              </w:rPr>
              <w:t>Iвановича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з посади Генерального директора та </w:t>
            </w:r>
            <w:proofErr w:type="spellStart"/>
            <w:r>
              <w:rPr>
                <w:rFonts w:eastAsia="Times New Roman"/>
                <w:color w:val="000000"/>
              </w:rPr>
              <w:t>припинення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дiї</w:t>
            </w:r>
            <w:proofErr w:type="spellEnd"/>
            <w:r>
              <w:rPr>
                <w:rFonts w:eastAsia="Times New Roman"/>
                <w:color w:val="000000"/>
              </w:rPr>
              <w:t xml:space="preserve"> контракту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21.02.2019р. № 210219 з 27.12.2019р.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«КОНДИТЕРСЬКА ФАБРИКА «АВК» М. ДНIПРО».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Cтрок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: з 21.02.2019 року (10 </w:t>
            </w:r>
            <w:proofErr w:type="spellStart"/>
            <w:r>
              <w:rPr>
                <w:rFonts w:eastAsia="Times New Roman"/>
                <w:color w:val="000000"/>
              </w:rPr>
              <w:t>мiсяцiв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</w:p>
        </w:tc>
      </w:tr>
      <w:tr w:rsidR="002D3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Раковська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Ольга </w:t>
            </w:r>
            <w:proofErr w:type="spellStart"/>
            <w:r>
              <w:rPr>
                <w:rFonts w:eastAsia="Times New Roman"/>
                <w:color w:val="000000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2D39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D39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2D39E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39E9" w:rsidRDefault="00180C7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</w:t>
            </w:r>
            <w:proofErr w:type="spellStart"/>
            <w:r>
              <w:rPr>
                <w:rFonts w:eastAsia="Times New Roman"/>
                <w:color w:val="000000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</w:rPr>
              <w:t xml:space="preserve"> заяви </w:t>
            </w:r>
            <w:proofErr w:type="spellStart"/>
            <w:r>
              <w:rPr>
                <w:rFonts w:eastAsia="Times New Roman"/>
                <w:color w:val="000000"/>
              </w:rPr>
              <w:t>Раковської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Ольги </w:t>
            </w:r>
            <w:proofErr w:type="spellStart"/>
            <w:r>
              <w:rPr>
                <w:rFonts w:eastAsia="Times New Roman"/>
                <w:color w:val="000000"/>
              </w:rPr>
              <w:t>Володимирiвни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26.12.2019р.,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ПРАТ «КОНДИТЕРСЬКА ФАБРИКА «АВК» М. ДНIПРО»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(протокол № 128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26.12.2019р.) про </w:t>
            </w:r>
            <w:proofErr w:type="spellStart"/>
            <w:r>
              <w:rPr>
                <w:rFonts w:eastAsia="Times New Roman"/>
                <w:color w:val="000000"/>
              </w:rPr>
              <w:t>призначення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Раковської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Ольги </w:t>
            </w:r>
            <w:proofErr w:type="spellStart"/>
            <w:r>
              <w:rPr>
                <w:rFonts w:eastAsia="Times New Roman"/>
                <w:color w:val="000000"/>
              </w:rPr>
              <w:t>Володимирiвни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Генерального директора з 28.12.2019р.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«КОНДИТЕРСЬКА ФАБРИКА «АВК» М. ДНIПРО».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 xml:space="preserve">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п'яти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br/>
              <w:t xml:space="preserve">- Начальник департаменту </w:t>
            </w:r>
            <w:proofErr w:type="spellStart"/>
            <w:r>
              <w:rPr>
                <w:rFonts w:eastAsia="Times New Roman"/>
                <w:color w:val="000000"/>
              </w:rPr>
              <w:t>розподiльчої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логiстики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«АВК КОНФЕКШIНЕРI»</w:t>
            </w:r>
            <w:r>
              <w:rPr>
                <w:rFonts w:eastAsia="Times New Roman"/>
                <w:color w:val="000000"/>
              </w:rPr>
              <w:br/>
              <w:t xml:space="preserve">- Директор з </w:t>
            </w:r>
            <w:proofErr w:type="spellStart"/>
            <w:r>
              <w:rPr>
                <w:rFonts w:eastAsia="Times New Roman"/>
                <w:color w:val="000000"/>
              </w:rPr>
              <w:t>виробництва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«КОНДИТЕРСЬКА ФАБРИКА «АВК» М. ДНIПРО»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lastRenderedPageBreak/>
              <w:t xml:space="preserve">На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пiдприємствах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 не </w:t>
            </w:r>
            <w:proofErr w:type="spellStart"/>
            <w:r>
              <w:rPr>
                <w:rFonts w:eastAsia="Times New Roman"/>
                <w:color w:val="000000"/>
              </w:rPr>
              <w:t>обiймає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строк до 28.12.2020 року 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2D39E9" w:rsidRDefault="002D39E9">
      <w:pPr>
        <w:rPr>
          <w:rFonts w:eastAsia="Times New Roman"/>
        </w:rPr>
      </w:pPr>
    </w:p>
    <w:sectPr w:rsidR="002D39E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73"/>
    <w:rsid w:val="00180C73"/>
    <w:rsid w:val="002D39E9"/>
    <w:rsid w:val="00441FA8"/>
    <w:rsid w:val="008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Шестаков Андрей Евгеньевич</cp:lastModifiedBy>
  <cp:revision>2</cp:revision>
  <dcterms:created xsi:type="dcterms:W3CDTF">2019-12-26T10:39:00Z</dcterms:created>
  <dcterms:modified xsi:type="dcterms:W3CDTF">2019-12-26T10:39:00Z</dcterms:modified>
</cp:coreProperties>
</file>